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54.png" ContentType="image/png"/>
  <Override PartName="/word/media/rId259.png" ContentType="image/png"/>
  <Override PartName="/word/media/rId50.png" ContentType="image/png"/>
  <Override PartName="/word/media/rId43.png" ContentType="image/png"/>
  <Override PartName="/word/media/rId275.png" ContentType="image/png"/>
  <Override PartName="/word/media/rId263.png" ContentType="image/png"/>
  <Override PartName="/word/media/rId27.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71"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2"/>
    <w:bookmarkStart w:id="48"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8"/>
    <w:bookmarkEnd w:id="49"/>
    <w:bookmarkStart w:id="69"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63" w:name="tbl-field-cage-locust-mas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0" w:name="tbl-field-cage-locust-mass-1"/>
                <w:bookmarkStart w:id="59" w:name="tbl-field-cage-locust-mass-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0.006</w:t>
                        </w:r>
                      </w:p>
                    </w:tc>
                    <w:tc>
                      <w:tcPr/>
                      <w:p>
                        <w:pPr>
                          <w:pStyle w:val="Compact"/>
                          <w:jc w:val="right"/>
                          <w:jc w:val="center"/>
                          <w:jc w:val="left"/>
                        </w:pPr>
                        <w:r>
                          <w:t xml:space="preserve">0.000</w:t>
                        </w:r>
                      </w:p>
                    </w:tc>
                  </w:tr>
                  <w:tr>
                    <w:tc>
                      <w:tcPr/>
                      <w:p>
                        <w:pPr>
                          <w:pStyle w:val="Compact"/>
                          <w:jc w:val="left"/>
                          <w:jc w:val="center"/>
                          <w:jc w:val="left"/>
                        </w:pPr>
                        <w:r>
                          <w:t xml:space="preserve">medium</w:t>
                        </w:r>
                      </w:p>
                    </w:tc>
                    <w:tc>
                      <w:tcPr/>
                      <w:p>
                        <w:pPr>
                          <w:pStyle w:val="Compact"/>
                          <w:jc w:val="right"/>
                          <w:jc w:val="center"/>
                          <w:jc w:val="left"/>
                        </w:pPr>
                        <w:r>
                          <w:t xml:space="preserve">0.010</w:t>
                        </w:r>
                      </w:p>
                    </w:tc>
                    <w:tc>
                      <w:tcPr/>
                      <w:p>
                        <w:pPr>
                          <w:pStyle w:val="Compact"/>
                          <w:jc w:val="right"/>
                          <w:jc w:val="center"/>
                          <w:jc w:val="left"/>
                        </w:pPr>
                        <w:r>
                          <w:t xml:space="preserve">0.117</w:t>
                        </w:r>
                      </w:p>
                    </w:tc>
                  </w:tr>
                  <w:tr>
                    <w:tc>
                      <w:tcPr/>
                      <w:p>
                        <w:pPr>
                          <w:pStyle w:val="Compact"/>
                          <w:jc w:val="left"/>
                          <w:jc w:val="center"/>
                          <w:jc w:val="left"/>
                        </w:pPr>
                        <w:r>
                          <w:t xml:space="preserve">high</w:t>
                        </w:r>
                      </w:p>
                    </w:tc>
                    <w:tc>
                      <w:tcPr/>
                      <w:p>
                        <w:pPr>
                          <w:pStyle w:val="Compact"/>
                          <w:jc w:val="right"/>
                          <w:jc w:val="center"/>
                          <w:jc w:val="left"/>
                        </w:pPr>
                        <w:r>
                          <w:t xml:space="preserve">0.010</w:t>
                        </w:r>
                      </w:p>
                    </w:tc>
                    <w:tc>
                      <w:tcPr/>
                      <w:p>
                        <w:pPr>
                          <w:pStyle w:val="Compact"/>
                          <w:jc w:val="right"/>
                          <w:jc w:val="center"/>
                          <w:jc w:val="left"/>
                        </w:pPr>
                        <w:r>
                          <w:t xml:space="preserve">0.273</w:t>
                        </w:r>
                      </w:p>
                    </w:tc>
                  </w:tr>
                </w:tbl>
                <w:bookmarkEnd w:id="59"/>
                <w:p>
                  <w:pPr>
                    <w:jc w:val="center"/>
                    <w:jc w:val="left"/>
                  </w:pPr>
                  <w:pPr>
                    <w:jc w:val="start"/>
                    <w:spacing w:before="200"/>
                    <w:pStyle w:val="ImageCaption"/>
                  </w:pPr>
                  <w:r>
                    <w:t xml:space="preserve">(a) parametric terms</w:t>
                  </w:r>
                </w:p>
                <w:bookmarkEnd w:id="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2" w:name="tbl-field-cage-locust-mass-2"/>
                <w:bookmarkStart w:id="61" w:name="tbl-field-cage-locust-mass-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s(carb_mg_mg,protein_mg_mg)</w:t>
                        </w:r>
                      </w:p>
                    </w:tc>
                    <w:tc>
                      <w:tcPr/>
                      <w:p>
                        <w:pPr>
                          <w:pStyle w:val="Compact"/>
                          <w:jc w:val="right"/>
                          <w:jc w:val="center"/>
                          <w:jc w:val="left"/>
                        </w:pPr>
                        <w:r>
                          <w:t xml:space="preserve">0.002</w:t>
                        </w:r>
                      </w:p>
                    </w:tc>
                    <w:tc>
                      <w:tcPr/>
                      <w:p>
                        <w:pPr>
                          <w:pStyle w:val="Compact"/>
                          <w:jc w:val="right"/>
                          <w:jc w:val="center"/>
                          <w:jc w:val="left"/>
                        </w:pPr>
                        <w:r>
                          <w:t xml:space="preserve">0.416</w:t>
                        </w:r>
                      </w:p>
                    </w:tc>
                  </w:tr>
                  <w:tr>
                    <w:tc>
                      <w:tcPr/>
                      <w:p>
                        <w:pPr>
                          <w:pStyle w:val="Compact"/>
                          <w:jc w:val="left"/>
                          <w:jc w:val="center"/>
                          <w:jc w:val="left"/>
                        </w:pPr>
                        <w:r>
                          <w:t xml:space="preserve">s(cage_num)</w:t>
                        </w:r>
                      </w:p>
                    </w:tc>
                    <w:tc>
                      <w:tcPr/>
                      <w:p>
                        <w:pPr>
                          <w:pStyle w:val="Compact"/>
                          <w:jc w:val="right"/>
                          <w:jc w:val="center"/>
                          <w:jc w:val="left"/>
                        </w:pPr>
                        <w:r>
                          <w:t xml:space="preserve">42.160</w:t>
                        </w:r>
                      </w:p>
                    </w:tc>
                    <w:tc>
                      <w:tcPr/>
                      <w:p>
                        <w:pPr>
                          <w:pStyle w:val="Compact"/>
                          <w:jc w:val="right"/>
                          <w:jc w:val="center"/>
                          <w:jc w:val="left"/>
                        </w:pPr>
                        <w:r>
                          <w:t xml:space="preserve">0.000</w:t>
                        </w:r>
                      </w:p>
                    </w:tc>
                  </w:tr>
                </w:tbl>
                <w:bookmarkEnd w:id="61"/>
                <w:p>
                  <w:pPr>
                    <w:jc w:val="center"/>
                    <w:jc w:val="left"/>
                  </w:pPr>
                  <w:pPr>
                    <w:jc w:val="start"/>
                    <w:spacing w:before="200"/>
                    <w:pStyle w:val="ImageCaption"/>
                  </w:pPr>
                  <w:r>
                    <w:t xml:space="preserve">(b) non-parametric temrs</w:t>
                  </w:r>
                </w:p>
                <w:bookmarkEnd w:id="62"/>
              </w:tc>
            </w:tr>
          </w:tbl>
          <w:p/>
        </w:tc>
      </w:tr>
    </w:tbl>
    <w:p>
      <w:pPr>
        <w:pStyle w:val="BodyText"/>
      </w:pPr>
      <w:pPr>
        <w:spacing w:before="200"/>
        <w:pStyle w:val="ImageCaption"/>
      </w:pPr>
      <w:r>
        <w:t xml:space="preserve">Table 4: Generalized additive model results for differences between final locust mass after the nitrogen fertilization experiment finished. Family: scaled T, link: identity, SE: standard error, significance indicated in bold.</w:t>
      </w:r>
    </w:p>
    <w:bookmarkEnd w:id="63"/>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p>
      <w:pPr>
        <w:pStyle w:val="BodyText"/>
      </w:pPr>
      <w:r>
        <w:t xml:space="preserve"> </w:t>
      </w:r>
    </w:p>
    <w:bookmarkStart w:id="68" w:name="tbl-field-cage-rebalancing"/>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5" w:name="tbl-field-cage-rebalancing-1"/>
                <w:bookmarkStart w:id="64" w:name="tbl-field-cage-rebalancing-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64"/>
                <w:p>
                  <w:pPr>
                    <w:jc w:val="center"/>
                    <w:jc w:val="left"/>
                  </w:pPr>
                  <w:pPr>
                    <w:jc w:val="start"/>
                    <w:spacing w:before="200"/>
                    <w:pStyle w:val="ImageCaption"/>
                  </w:pPr>
                  <w:r>
                    <w:t xml:space="preserve">(a) parametric terms</w:t>
                  </w:r>
                </w:p>
                <w:bookmarkEnd w:id="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tbl-field-cage-rebalancing-2"/>
                <w:bookmarkStart w:id="66" w:name="tbl-field-cage-rebalancing-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66"/>
                <w:p>
                  <w:pPr>
                    <w:jc w:val="center"/>
                    <w:jc w:val="left"/>
                  </w:pPr>
                  <w:pPr>
                    <w:jc w:val="start"/>
                    <w:spacing w:before="200"/>
                    <w:pStyle w:val="ImageCaption"/>
                  </w:pPr>
                  <w:r>
                    <w:t xml:space="preserve">(b) non-parametric temrs</w:t>
                  </w:r>
                </w:p>
                <w:bookmarkEnd w:id="67"/>
              </w:tc>
            </w:tr>
          </w:tbl>
          <w:p/>
        </w:tc>
      </w:tr>
    </w:tbl>
    <w:p>
      <w:pPr>
        <w:pStyle w:val="BodyText"/>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6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69"/>
    <w:bookmarkStart w:id="70"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70"/>
    <w:bookmarkEnd w:id="71"/>
    <w:bookmarkStart w:id="77"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72"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72"/>
    <w:bookmarkStart w:id="73"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3"/>
    <w:bookmarkStart w:id="74"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4"/>
    <w:bookmarkStart w:id="75"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5"/>
    <w:bookmarkStart w:id="76"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6"/>
    <w:bookmarkEnd w:id="77"/>
    <w:bookmarkStart w:id="258" w:name="references"/>
    <w:p>
      <w:pPr>
        <w:pStyle w:val="Heading1"/>
      </w:pPr>
      <w:r>
        <w:t xml:space="preserve">5. References</w:t>
      </w:r>
    </w:p>
    <w:bookmarkStart w:id="257" w:name="refs"/>
    <w:bookmarkStart w:id="79"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8">
        <w:r>
          <w:rPr>
            <w:rStyle w:val="Hyperlink"/>
          </w:rPr>
          <w:t xml:space="preserve">https://doi.org/10.1111/j.1461-0248.2004.00646.x</w:t>
        </w:r>
      </w:hyperlink>
    </w:p>
    <w:bookmarkEnd w:id="79"/>
    <w:bookmarkStart w:id="81"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80">
        <w:r>
          <w:rPr>
            <w:rStyle w:val="Hyperlink"/>
          </w:rPr>
          <w:t xml:space="preserve">https://doi.org/10.1002/ece3.1661</w:t>
        </w:r>
      </w:hyperlink>
    </w:p>
    <w:bookmarkEnd w:id="81"/>
    <w:bookmarkStart w:id="83"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82">
        <w:r>
          <w:rPr>
            <w:rStyle w:val="Hyperlink"/>
          </w:rPr>
          <w:t xml:space="preserve">https://doi.org/10.2307/1938583</w:t>
        </w:r>
      </w:hyperlink>
    </w:p>
    <w:bookmarkEnd w:id="83"/>
    <w:bookmarkStart w:id="85"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4">
        <w:r>
          <w:rPr>
            <w:rStyle w:val="Hyperlink"/>
          </w:rPr>
          <w:t xml:space="preserve">https://doi.org/10.1146/annurev.ento.54.110807.090537</w:t>
        </w:r>
      </w:hyperlink>
    </w:p>
    <w:bookmarkEnd w:id="85"/>
    <w:bookmarkStart w:id="87"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6">
        <w:r>
          <w:rPr>
            <w:rStyle w:val="Hyperlink"/>
          </w:rPr>
          <w:t xml:space="preserve">https://doi.org/10.2307/1941604</w:t>
        </w:r>
      </w:hyperlink>
    </w:p>
    <w:bookmarkEnd w:id="87"/>
    <w:bookmarkStart w:id="89"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8">
        <w:r>
          <w:rPr>
            <w:rStyle w:val="Hyperlink"/>
          </w:rPr>
          <w:t xml:space="preserve">https://doi.org/10.3389/finsc.2023.1110518</w:t>
        </w:r>
      </w:hyperlink>
    </w:p>
    <w:bookmarkEnd w:id="89"/>
    <w:bookmarkStart w:id="91"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90">
        <w:r>
          <w:rPr>
            <w:rStyle w:val="Hyperlink"/>
          </w:rPr>
          <w:t xml:space="preserve">https://doi.org/10.1023/A:1021471732625</w:t>
        </w:r>
      </w:hyperlink>
    </w:p>
    <w:bookmarkEnd w:id="91"/>
    <w:bookmarkStart w:id="93"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2">
        <w:r>
          <w:rPr>
            <w:rStyle w:val="Hyperlink"/>
          </w:rPr>
          <w:t xml:space="preserve">https://doi.org/10.1146/annurev-ento-120220-110415</w:t>
        </w:r>
      </w:hyperlink>
    </w:p>
    <w:bookmarkEnd w:id="93"/>
    <w:bookmarkStart w:id="95"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4">
        <w:r>
          <w:rPr>
            <w:rStyle w:val="Hyperlink"/>
          </w:rPr>
          <w:t xml:space="preserve">https://doi.org/10.1093/biosci/biv048</w:t>
        </w:r>
      </w:hyperlink>
    </w:p>
    <w:bookmarkEnd w:id="95"/>
    <w:bookmarkStart w:id="97"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6">
        <w:r>
          <w:rPr>
            <w:rStyle w:val="Hyperlink"/>
          </w:rPr>
          <w:t xml:space="preserve">https://doi.org/10.1126/science.1214433</w:t>
        </w:r>
      </w:hyperlink>
    </w:p>
    <w:bookmarkEnd w:id="97"/>
    <w:bookmarkStart w:id="99"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8">
        <w:r>
          <w:rPr>
            <w:rStyle w:val="Hyperlink"/>
          </w:rPr>
          <w:t xml:space="preserve">https://doi.org/10.1242/jeb.126847</w:t>
        </w:r>
      </w:hyperlink>
    </w:p>
    <w:bookmarkEnd w:id="99"/>
    <w:bookmarkStart w:id="101"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100">
        <w:r>
          <w:rPr>
            <w:rStyle w:val="Hyperlink"/>
          </w:rPr>
          <w:t xml:space="preserve">https://doi.org/10.1016/j.cris.2023.100069</w:t>
        </w:r>
      </w:hyperlink>
    </w:p>
    <w:bookmarkEnd w:id="101"/>
    <w:bookmarkStart w:id="103"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2">
        <w:r>
          <w:rPr>
            <w:rStyle w:val="Hyperlink"/>
          </w:rPr>
          <w:t xml:space="preserve">https://doi.org/10.1086/591686</w:t>
        </w:r>
      </w:hyperlink>
    </w:p>
    <w:bookmarkEnd w:id="103"/>
    <w:bookmarkStart w:id="105"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4">
        <w:r>
          <w:rPr>
            <w:rStyle w:val="Hyperlink"/>
          </w:rPr>
          <w:t xml:space="preserve">https://doi.org/10.1071/ZO9740365</w:t>
        </w:r>
      </w:hyperlink>
    </w:p>
    <w:bookmarkEnd w:id="105"/>
    <w:bookmarkStart w:id="107"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6">
        <w:r>
          <w:rPr>
            <w:rStyle w:val="Hyperlink"/>
          </w:rPr>
          <w:t xml:space="preserve">https://doi.org/10.1093/ije/22.6.1193</w:t>
        </w:r>
      </w:hyperlink>
    </w:p>
    <w:bookmarkEnd w:id="107"/>
    <w:bookmarkStart w:id="109"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8">
        <w:r>
          <w:rPr>
            <w:rStyle w:val="Hyperlink"/>
          </w:rPr>
          <w:t xml:space="preserve">https://doi.org/10.1242/jeb.078782</w:t>
        </w:r>
      </w:hyperlink>
    </w:p>
    <w:bookmarkEnd w:id="109"/>
    <w:bookmarkStart w:id="111"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10">
        <w:r>
          <w:rPr>
            <w:rStyle w:val="Hyperlink"/>
          </w:rPr>
          <w:t xml:space="preserve">https://doi.org/10.1016/j.jinsphys.2014.06.011</w:t>
        </w:r>
      </w:hyperlink>
    </w:p>
    <w:bookmarkEnd w:id="111"/>
    <w:bookmarkStart w:id="113"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12">
        <w:r>
          <w:rPr>
            <w:rStyle w:val="Hyperlink"/>
          </w:rPr>
          <w:t xml:space="preserve">https://doi.org/10.1111/j.1365-2656.2006.01122.x</w:t>
        </w:r>
      </w:hyperlink>
    </w:p>
    <w:bookmarkEnd w:id="113"/>
    <w:bookmarkStart w:id="115"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4">
        <w:r>
          <w:rPr>
            <w:rStyle w:val="Hyperlink"/>
          </w:rPr>
          <w:t xml:space="preserve">https://doi.org/10.2307/1380145</w:t>
        </w:r>
      </w:hyperlink>
    </w:p>
    <w:bookmarkEnd w:id="115"/>
    <w:bookmarkStart w:id="117"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6">
        <w:r>
          <w:rPr>
            <w:rStyle w:val="Hyperlink"/>
          </w:rPr>
          <w:t xml:space="preserve">https://doi.org/10.1117/1.JRS.7.075098</w:t>
        </w:r>
      </w:hyperlink>
    </w:p>
    <w:bookmarkEnd w:id="117"/>
    <w:bookmarkStart w:id="119"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8">
        <w:r>
          <w:rPr>
            <w:rStyle w:val="Hyperlink"/>
          </w:rPr>
          <w:t xml:space="preserve">https://doi.org/10.1016/bs.aiip.2017.06.002</w:t>
        </w:r>
      </w:hyperlink>
    </w:p>
    <w:bookmarkEnd w:id="119"/>
    <w:bookmarkStart w:id="121"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20">
        <w:r>
          <w:rPr>
            <w:rStyle w:val="Hyperlink"/>
          </w:rPr>
          <w:t xml:space="preserve">https://doi.org/10.1016/0022-1910(61)90086-5</w:t>
        </w:r>
      </w:hyperlink>
    </w:p>
    <w:bookmarkEnd w:id="121"/>
    <w:bookmarkStart w:id="123"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22">
        <w:r>
          <w:rPr>
            <w:rStyle w:val="Hyperlink"/>
          </w:rPr>
          <w:t xml:space="preserve">https://doi.org/10.1038/s42003-022-03407-8</w:t>
        </w:r>
      </w:hyperlink>
    </w:p>
    <w:bookmarkEnd w:id="123"/>
    <w:bookmarkStart w:id="125"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4">
        <w:r>
          <w:rPr>
            <w:rStyle w:val="Hyperlink"/>
          </w:rPr>
          <w:t xml:space="preserve">https://doi.org/10.1117/1.JRS.7.075096</w:t>
        </w:r>
      </w:hyperlink>
    </w:p>
    <w:bookmarkEnd w:id="125"/>
    <w:bookmarkStart w:id="127"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6">
        <w:r>
          <w:rPr>
            <w:rStyle w:val="Hyperlink"/>
          </w:rPr>
          <w:t xml:space="preserve">https://doi.org/10.1665/1082-6467(2005)14[91:NAOTHD]2.0.CO;2</w:t>
        </w:r>
      </w:hyperlink>
    </w:p>
    <w:bookmarkEnd w:id="127"/>
    <w:bookmarkStart w:id="129"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8">
        <w:r>
          <w:rPr>
            <w:rStyle w:val="Hyperlink"/>
          </w:rPr>
          <w:t xml:space="preserve">https://doi.org/10.1111/j.1744-7917.2002.tb00167.x</w:t>
        </w:r>
      </w:hyperlink>
    </w:p>
    <w:bookmarkEnd w:id="129"/>
    <w:bookmarkStart w:id="130"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30"/>
    <w:bookmarkStart w:id="132"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31">
        <w:r>
          <w:rPr>
            <w:rStyle w:val="Hyperlink"/>
          </w:rPr>
          <w:t xml:space="preserve">https://doi.org/10.2307/1939347</w:t>
        </w:r>
      </w:hyperlink>
    </w:p>
    <w:bookmarkEnd w:id="132"/>
    <w:bookmarkStart w:id="134"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3">
        <w:r>
          <w:rPr>
            <w:rStyle w:val="Hyperlink"/>
          </w:rPr>
          <w:t xml:space="preserve">https://doi.org/10.1038/35046058</w:t>
        </w:r>
      </w:hyperlink>
    </w:p>
    <w:bookmarkEnd w:id="134"/>
    <w:bookmarkStart w:id="136"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5">
        <w:r>
          <w:rPr>
            <w:rStyle w:val="Hyperlink"/>
          </w:rPr>
          <w:t xml:space="preserve">https://doi.org/10.1071/ZO9820569</w:t>
        </w:r>
      </w:hyperlink>
    </w:p>
    <w:bookmarkEnd w:id="136"/>
    <w:bookmarkStart w:id="137" w:name="ref-floyd_frontiers_1996"/>
    <w:p>
      <w:pPr>
        <w:pStyle w:val="Bibliography"/>
      </w:pPr>
      <w:r>
        <w:t xml:space="preserve">Floyd, R. B. (Ed.). (1996).</w:t>
      </w:r>
      <w:r>
        <w:t xml:space="preserve"> </w:t>
      </w:r>
      <w:r>
        <w:rPr>
          <w:i/>
          <w:iCs/>
        </w:rPr>
        <w:t xml:space="preserve">Frontiers of population ecology</w:t>
      </w:r>
      <w:r>
        <w:t xml:space="preserve">. CSIRO Pub.</w:t>
      </w:r>
    </w:p>
    <w:bookmarkEnd w:id="137"/>
    <w:bookmarkStart w:id="139"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8">
        <w:r>
          <w:rPr>
            <w:rStyle w:val="Hyperlink"/>
          </w:rPr>
          <w:t xml:space="preserve">https://doi.org/10.1890/0012-9658(2002)083[3466:CFCEVI]2.0.CO;2</w:t>
        </w:r>
      </w:hyperlink>
    </w:p>
    <w:bookmarkEnd w:id="139"/>
    <w:bookmarkStart w:id="141"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40">
        <w:r>
          <w:rPr>
            <w:rStyle w:val="Hyperlink"/>
          </w:rPr>
          <w:t xml:space="preserve">https://doi.org/10.1890/12-0114.1</w:t>
        </w:r>
      </w:hyperlink>
    </w:p>
    <w:bookmarkEnd w:id="141"/>
    <w:bookmarkStart w:id="143"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42">
        <w:r>
          <w:rPr>
            <w:rStyle w:val="Hyperlink"/>
          </w:rPr>
          <w:t xml:space="preserve">https://doi.org/10.1016/j.rse.2017.06.031</w:t>
        </w:r>
      </w:hyperlink>
    </w:p>
    <w:bookmarkEnd w:id="143"/>
    <w:bookmarkStart w:id="145"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4">
        <w:r>
          <w:rPr>
            <w:rStyle w:val="Hyperlink"/>
          </w:rPr>
          <w:t xml:space="preserve">https://doi.org/10.1093/auk/123.1.97</w:t>
        </w:r>
      </w:hyperlink>
    </w:p>
    <w:bookmarkEnd w:id="145"/>
    <w:bookmarkStart w:id="147"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6">
        <w:r>
          <w:rPr>
            <w:rStyle w:val="Hyperlink"/>
          </w:rPr>
          <w:t xml:space="preserve">https://doi.org/10.1071/SR15191</w:t>
        </w:r>
      </w:hyperlink>
    </w:p>
    <w:bookmarkEnd w:id="147"/>
    <w:bookmarkStart w:id="149"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8">
        <w:r>
          <w:rPr>
            <w:rStyle w:val="Hyperlink"/>
          </w:rPr>
          <w:t xml:space="preserve">https://doi.org/10.1007/BF00347907</w:t>
        </w:r>
      </w:hyperlink>
    </w:p>
    <w:bookmarkEnd w:id="149"/>
    <w:bookmarkStart w:id="151"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50">
        <w:r>
          <w:rPr>
            <w:rStyle w:val="Hyperlink"/>
          </w:rPr>
          <w:t xml:space="preserve">https://doi.org/10.1098/rspb.2014.0539</w:t>
        </w:r>
      </w:hyperlink>
    </w:p>
    <w:bookmarkEnd w:id="151"/>
    <w:bookmarkStart w:id="153"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52">
        <w:r>
          <w:rPr>
            <w:rStyle w:val="Hyperlink"/>
          </w:rPr>
          <w:t xml:space="preserve">https://doi.org/10.2307/2389793</w:t>
        </w:r>
      </w:hyperlink>
    </w:p>
    <w:bookmarkEnd w:id="153"/>
    <w:bookmarkStart w:id="155"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4">
        <w:r>
          <w:rPr>
            <w:rStyle w:val="Hyperlink"/>
          </w:rPr>
          <w:t xml:space="preserve">https://doi.org/10.1007/s00442-006-0462-8</w:t>
        </w:r>
      </w:hyperlink>
    </w:p>
    <w:bookmarkEnd w:id="155"/>
    <w:bookmarkStart w:id="157"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6">
        <w:r>
          <w:rPr>
            <w:rStyle w:val="Hyperlink"/>
          </w:rPr>
          <w:t xml:space="preserve">https://doi.org/10.1016/j.cropro.2007.04.016</w:t>
        </w:r>
      </w:hyperlink>
    </w:p>
    <w:bookmarkEnd w:id="157"/>
    <w:bookmarkStart w:id="159"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8">
        <w:r>
          <w:rPr>
            <w:rStyle w:val="Hyperlink"/>
          </w:rPr>
          <w:t xml:space="preserve">https://doi.org/10.1665/1082-6467(2001)010[0347:AOLAGT]2.0.CO;2</w:t>
        </w:r>
      </w:hyperlink>
    </w:p>
    <w:bookmarkEnd w:id="159"/>
    <w:bookmarkStart w:id="161"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60">
        <w:r>
          <w:rPr>
            <w:rStyle w:val="Hyperlink"/>
          </w:rPr>
          <w:t xml:space="preserve">https://doi.org/10.1890/11-1142.1</w:t>
        </w:r>
      </w:hyperlink>
    </w:p>
    <w:bookmarkEnd w:id="161"/>
    <w:bookmarkStart w:id="163"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62">
        <w:r>
          <w:rPr>
            <w:rStyle w:val="Hyperlink"/>
          </w:rPr>
          <w:t xml:space="preserve">https://doi.org/10.1111/j.1365-2311.2008.01004.x</w:t>
        </w:r>
      </w:hyperlink>
    </w:p>
    <w:bookmarkEnd w:id="163"/>
    <w:bookmarkStart w:id="165"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4">
        <w:r>
          <w:rPr>
            <w:rStyle w:val="Hyperlink"/>
          </w:rPr>
          <w:t xml:space="preserve">https://doi.org/10.2307/3544311</w:t>
        </w:r>
      </w:hyperlink>
    </w:p>
    <w:bookmarkEnd w:id="165"/>
    <w:bookmarkStart w:id="167"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6">
        <w:r>
          <w:rPr>
            <w:rStyle w:val="Hyperlink"/>
          </w:rPr>
          <w:t xml:space="preserve">https://doi.org/10.25919/RTPX-F935</w:t>
        </w:r>
      </w:hyperlink>
    </w:p>
    <w:bookmarkEnd w:id="167"/>
    <w:bookmarkStart w:id="169"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8">
        <w:r>
          <w:rPr>
            <w:rStyle w:val="Hyperlink"/>
          </w:rPr>
          <w:t xml:space="preserve">https://doi.org/10.1002/ecs2.3409</w:t>
        </w:r>
      </w:hyperlink>
    </w:p>
    <w:bookmarkEnd w:id="169"/>
    <w:bookmarkStart w:id="171"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70">
        <w:r>
          <w:rPr>
            <w:rStyle w:val="Hyperlink"/>
          </w:rPr>
          <w:t xml:space="preserve">https://doi.org/10.1111/ecog.05763</w:t>
        </w:r>
      </w:hyperlink>
    </w:p>
    <w:bookmarkEnd w:id="171"/>
    <w:bookmarkStart w:id="173"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72">
        <w:r>
          <w:rPr>
            <w:rStyle w:val="Hyperlink"/>
          </w:rPr>
          <w:t xml:space="preserve">https://doi.org/10.1016/j.agee.2020.106931</w:t>
        </w:r>
      </w:hyperlink>
    </w:p>
    <w:bookmarkEnd w:id="173"/>
    <w:bookmarkStart w:id="175"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4">
        <w:r>
          <w:rPr>
            <w:rStyle w:val="Hyperlink"/>
          </w:rPr>
          <w:t xml:space="preserve">https://doi.org/10.3389/fevo.2019.00263</w:t>
        </w:r>
      </w:hyperlink>
    </w:p>
    <w:bookmarkEnd w:id="175"/>
    <w:bookmarkStart w:id="177"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6">
        <w:r>
          <w:rPr>
            <w:rStyle w:val="Hyperlink"/>
          </w:rPr>
          <w:t xml:space="preserve">https://doi.org/10.1111/oik.01370</w:t>
        </w:r>
      </w:hyperlink>
    </w:p>
    <w:bookmarkEnd w:id="177"/>
    <w:bookmarkStart w:id="179"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78">
        <w:r>
          <w:rPr>
            <w:rStyle w:val="Hyperlink"/>
          </w:rPr>
          <w:t xml:space="preserve">https://doi.org/10.2307/1941447</w:t>
        </w:r>
      </w:hyperlink>
    </w:p>
    <w:bookmarkEnd w:id="179"/>
    <w:bookmarkStart w:id="181"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80">
        <w:r>
          <w:rPr>
            <w:rStyle w:val="Hyperlink"/>
          </w:rPr>
          <w:t xml:space="preserve">https://doi.org/10.1111/j.1744-7917.2010.01376.x</w:t>
        </w:r>
      </w:hyperlink>
    </w:p>
    <w:bookmarkEnd w:id="181"/>
    <w:bookmarkStart w:id="183"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82">
        <w:r>
          <w:rPr>
            <w:rStyle w:val="Hyperlink"/>
          </w:rPr>
          <w:t xml:space="preserve">https://doi.org/10.1071/BT9950039</w:t>
        </w:r>
      </w:hyperlink>
    </w:p>
    <w:bookmarkEnd w:id="183"/>
    <w:bookmarkStart w:id="185"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84">
        <w:r>
          <w:rPr>
            <w:rStyle w:val="Hyperlink"/>
          </w:rPr>
          <w:t xml:space="preserve">https://doi.org/10.1146/annurev.es.11.110180.001003</w:t>
        </w:r>
      </w:hyperlink>
    </w:p>
    <w:bookmarkEnd w:id="185"/>
    <w:bookmarkStart w:id="187"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6">
        <w:r>
          <w:rPr>
            <w:rStyle w:val="Hyperlink"/>
          </w:rPr>
          <w:t xml:space="preserve">https://www.agriculture.gov.au/sites/default/files/sitecollectiondocuments/animal-plant/aplc/research-papers/locust-control-11.pdf</w:t>
        </w:r>
      </w:hyperlink>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8">
        <w:r>
          <w:rPr>
            <w:rStyle w:val="Hyperlink"/>
          </w:rPr>
          <w:t xml:space="preserve">https://doi.org/10.1016/j.jaridenv.2010.11.001</w:t>
        </w:r>
      </w:hyperlink>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90">
        <w:r>
          <w:rPr>
            <w:rStyle w:val="Hyperlink"/>
          </w:rPr>
          <w:t xml:space="preserve">https://doi.org/10.5194/essd-13-4349-2021</w:t>
        </w:r>
      </w:hyperlink>
    </w:p>
    <w:bookmarkEnd w:id="191"/>
    <w:bookmarkStart w:id="193"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92">
        <w:r>
          <w:rPr>
            <w:rStyle w:val="Hyperlink"/>
          </w:rPr>
          <w:t xml:space="preserve">https://doi.org/10.1111/1365-2435.12302</w:t>
        </w:r>
      </w:hyperlink>
    </w:p>
    <w:bookmarkEnd w:id="193"/>
    <w:bookmarkStart w:id="195"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94">
        <w:r>
          <w:rPr>
            <w:rStyle w:val="Hyperlink"/>
          </w:rPr>
          <w:t xml:space="preserve">https://doi.org/10.1146/annurev.es.05.110174.001211</w:t>
        </w:r>
      </w:hyperlink>
    </w:p>
    <w:bookmarkEnd w:id="195"/>
    <w:bookmarkStart w:id="197"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6">
        <w:r>
          <w:rPr>
            <w:rStyle w:val="Hyperlink"/>
          </w:rPr>
          <w:t xml:space="preserve">https://doi.org/10.1111/j.1469-185X.2007.00017.x</w:t>
        </w:r>
      </w:hyperlink>
    </w:p>
    <w:bookmarkEnd w:id="197"/>
    <w:bookmarkStart w:id="199"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8">
        <w:r>
          <w:rPr>
            <w:rStyle w:val="Hyperlink"/>
          </w:rPr>
          <w:t xml:space="preserve">https://doi.org/10.1002/ece3.7435</w:t>
        </w:r>
      </w:hyperlink>
    </w:p>
    <w:bookmarkEnd w:id="199"/>
    <w:bookmarkStart w:id="201"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200">
        <w:r>
          <w:rPr>
            <w:rStyle w:val="Hyperlink"/>
          </w:rPr>
          <w:t xml:space="preserve">https://doi.org/10.1242/jeb.245296</w:t>
        </w:r>
      </w:hyperlink>
    </w:p>
    <w:bookmarkEnd w:id="201"/>
    <w:bookmarkStart w:id="203"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202">
        <w:r>
          <w:rPr>
            <w:rStyle w:val="Hyperlink"/>
          </w:rPr>
          <w:t xml:space="preserve">https://doi.org/10.1002/arch.10133</w:t>
        </w:r>
      </w:hyperlink>
    </w:p>
    <w:bookmarkEnd w:id="203"/>
    <w:bookmarkStart w:id="205"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204">
        <w:r>
          <w:rPr>
            <w:rStyle w:val="Hyperlink"/>
          </w:rPr>
          <w:t xml:space="preserve">https://doi.org/10.2307/1382603</w:t>
        </w:r>
      </w:hyperlink>
    </w:p>
    <w:bookmarkEnd w:id="205"/>
    <w:bookmarkStart w:id="207"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6">
        <w:r>
          <w:rPr>
            <w:rStyle w:val="Hyperlink"/>
          </w:rPr>
          <w:t xml:space="preserve">https://doi.org/10.1146/annurev-ento-120710-100713</w:t>
        </w:r>
      </w:hyperlink>
    </w:p>
    <w:bookmarkEnd w:id="207"/>
    <w:bookmarkStart w:id="209"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8">
        <w:r>
          <w:rPr>
            <w:rStyle w:val="Hyperlink"/>
          </w:rPr>
          <w:t xml:space="preserve">https://doi.org/10.1079/NRR19970009</w:t>
        </w:r>
      </w:hyperlink>
    </w:p>
    <w:bookmarkEnd w:id="209"/>
    <w:bookmarkStart w:id="211"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10">
        <w:r>
          <w:rPr>
            <w:rStyle w:val="Hyperlink"/>
          </w:rPr>
          <w:t xml:space="preserve">https://doi.org/10.1046/j.1461-0248.2003.00409.x</w:t>
        </w:r>
      </w:hyperlink>
    </w:p>
    <w:bookmarkEnd w:id="211"/>
    <w:bookmarkStart w:id="213"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12">
        <w:r>
          <w:rPr>
            <w:rStyle w:val="Hyperlink"/>
          </w:rPr>
          <w:t xml:space="preserve">https://doi.org/10.1111/j.1365-3032.1985.tb00066.x</w:t>
        </w:r>
      </w:hyperlink>
    </w:p>
    <w:bookmarkEnd w:id="213"/>
    <w:bookmarkStart w:id="215"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14">
        <w:r>
          <w:rPr>
            <w:rStyle w:val="Hyperlink"/>
          </w:rPr>
          <w:t xml:space="preserve">https://doi.org/10.23943/princeton/9780691145655.001.0001</w:t>
        </w:r>
      </w:hyperlink>
    </w:p>
    <w:bookmarkEnd w:id="215"/>
    <w:bookmarkStart w:id="216"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6"/>
    <w:bookmarkStart w:id="218"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7">
        <w:r>
          <w:rPr>
            <w:rStyle w:val="Hyperlink"/>
          </w:rPr>
          <w:t xml:space="preserve">https://doi.org/10.1098/rspb.2020.2500</w:t>
        </w:r>
      </w:hyperlink>
    </w:p>
    <w:bookmarkEnd w:id="218"/>
    <w:bookmarkStart w:id="220"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9">
        <w:r>
          <w:rPr>
            <w:rStyle w:val="Hyperlink"/>
          </w:rPr>
          <w:t xml:space="preserve">https://doi.org/10.1242/jeb.240010</w:t>
        </w:r>
      </w:hyperlink>
    </w:p>
    <w:bookmarkEnd w:id="220"/>
    <w:bookmarkStart w:id="222"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21">
        <w:r>
          <w:rPr>
            <w:rStyle w:val="Hyperlink"/>
          </w:rPr>
          <w:t xml:space="preserve">https://doi.org/10.1101/2023.06.20.545784</w:t>
        </w:r>
      </w:hyperlink>
    </w:p>
    <w:bookmarkEnd w:id="222"/>
    <w:bookmarkStart w:id="224"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23">
        <w:r>
          <w:rPr>
            <w:rStyle w:val="Hyperlink"/>
          </w:rPr>
          <w:t xml:space="preserve">https://doi.org/10.1038/22941</w:t>
        </w:r>
      </w:hyperlink>
    </w:p>
    <w:bookmarkEnd w:id="224"/>
    <w:bookmarkStart w:id="225"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5"/>
    <w:bookmarkStart w:id="227"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6">
        <w:r>
          <w:rPr>
            <w:rStyle w:val="Hyperlink"/>
          </w:rPr>
          <w:t xml:space="preserve">https://doi.org/10.1890/14-0183.1</w:t>
        </w:r>
      </w:hyperlink>
    </w:p>
    <w:bookmarkEnd w:id="227"/>
    <w:bookmarkStart w:id="229"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8">
        <w:r>
          <w:rPr>
            <w:rStyle w:val="Hyperlink"/>
          </w:rPr>
          <w:t xml:space="preserve">https://doi.org/10.1890/08-0127.1</w:t>
        </w:r>
      </w:hyperlink>
    </w:p>
    <w:bookmarkEnd w:id="229"/>
    <w:bookmarkStart w:id="231"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30">
        <w:r>
          <w:rPr>
            <w:rStyle w:val="Hyperlink"/>
          </w:rPr>
          <w:t xml:space="preserve">https://doi.org/10.1111/1365-2656.13191</w:t>
        </w:r>
      </w:hyperlink>
    </w:p>
    <w:bookmarkEnd w:id="231"/>
    <w:bookmarkStart w:id="233"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32">
        <w:r>
          <w:rPr>
            <w:rStyle w:val="Hyperlink"/>
          </w:rPr>
          <w:t xml:space="preserve">https://doi.org/10.1073/pnas.1920012117</w:t>
        </w:r>
      </w:hyperlink>
    </w:p>
    <w:bookmarkEnd w:id="233"/>
    <w:bookmarkStart w:id="235"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34">
        <w:r>
          <w:rPr>
            <w:rStyle w:val="Hyperlink"/>
          </w:rPr>
          <w:t xml:space="preserve">https://doi.org/10.1007/BF00376997</w:t>
        </w:r>
      </w:hyperlink>
    </w:p>
    <w:bookmarkEnd w:id="235"/>
    <w:bookmarkStart w:id="237"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6">
        <w:r>
          <w:rPr>
            <w:rStyle w:val="Hyperlink"/>
          </w:rPr>
          <w:t xml:space="preserve">https://doi.org/10.1007/978-3-642-78299-2</w:t>
        </w:r>
      </w:hyperlink>
    </w:p>
    <w:bookmarkEnd w:id="237"/>
    <w:bookmarkStart w:id="239"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8">
        <w:r>
          <w:rPr>
            <w:rStyle w:val="Hyperlink"/>
          </w:rPr>
          <w:t xml:space="preserve">https://doi.org/10.1111/j.1469-185X.2008.00041.x</w:t>
        </w:r>
      </w:hyperlink>
    </w:p>
    <w:bookmarkEnd w:id="239"/>
    <w:bookmarkStart w:id="240" w:name="ref-whitford_ecology_2002"/>
    <w:p>
      <w:pPr>
        <w:pStyle w:val="Bibliography"/>
      </w:pPr>
      <w:r>
        <w:t xml:space="preserve">Whitford, W. G. (2002).</w:t>
      </w:r>
      <w:r>
        <w:t xml:space="preserve"> </w:t>
      </w:r>
      <w:r>
        <w:rPr>
          <w:i/>
          <w:iCs/>
        </w:rPr>
        <w:t xml:space="preserve">Ecology of desert systems</w:t>
      </w:r>
      <w:r>
        <w:t xml:space="preserve">. Academic Press.</w:t>
      </w:r>
    </w:p>
    <w:bookmarkEnd w:id="240"/>
    <w:bookmarkStart w:id="242"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41">
        <w:r>
          <w:rPr>
            <w:rStyle w:val="Hyperlink"/>
          </w:rPr>
          <w:t xml:space="preserve">https://doi.org/10.2307/2389612</w:t>
        </w:r>
      </w:hyperlink>
    </w:p>
    <w:bookmarkEnd w:id="242"/>
    <w:bookmarkStart w:id="244"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43">
        <w:r>
          <w:rPr>
            <w:rStyle w:val="Hyperlink"/>
          </w:rPr>
          <w:t xml:space="preserve">https://doi.org/10.1086/701196</w:t>
        </w:r>
      </w:hyperlink>
    </w:p>
    <w:bookmarkEnd w:id="244"/>
    <w:bookmarkStart w:id="246"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45">
        <w:r>
          <w:rPr>
            <w:rStyle w:val="Hyperlink"/>
          </w:rPr>
          <w:t xml:space="preserve">https://doi.org/10.1002/ece3.5730</w:t>
        </w:r>
      </w:hyperlink>
    </w:p>
    <w:bookmarkEnd w:id="246"/>
    <w:bookmarkStart w:id="248"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7">
        <w:r>
          <w:rPr>
            <w:rStyle w:val="Hyperlink"/>
          </w:rPr>
          <w:t xml:space="preserve">https://doi.org/10.1016/j.scitotenv.2019.01.313</w:t>
        </w:r>
      </w:hyperlink>
    </w:p>
    <w:bookmarkEnd w:id="248"/>
    <w:bookmarkStart w:id="250"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9">
        <w:r>
          <w:rPr>
            <w:rStyle w:val="Hyperlink"/>
          </w:rPr>
          <w:t xml:space="preserve">https://doi.org/10.1371/journal.pone.0103697</w:t>
        </w:r>
      </w:hyperlink>
    </w:p>
    <w:bookmarkEnd w:id="250"/>
    <w:bookmarkStart w:id="252"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51">
        <w:r>
          <w:rPr>
            <w:rStyle w:val="Hyperlink"/>
          </w:rPr>
          <w:t xml:space="preserve">https://doi.org/10.1093/jpe/rty035</w:t>
        </w:r>
      </w:hyperlink>
    </w:p>
    <w:bookmarkEnd w:id="252"/>
    <w:bookmarkStart w:id="254"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53">
        <w:r>
          <w:rPr>
            <w:rStyle w:val="Hyperlink"/>
          </w:rPr>
          <w:t xml:space="preserve">https://doi.org/10.1111/een.12919</w:t>
        </w:r>
      </w:hyperlink>
    </w:p>
    <w:bookmarkEnd w:id="254"/>
    <w:bookmarkStart w:id="256"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55">
        <w:r>
          <w:rPr>
            <w:rStyle w:val="Hyperlink"/>
          </w:rPr>
          <w:t xml:space="preserve">https://doi.org/10.1111/1365-2745.13100</w:t>
        </w:r>
      </w:hyperlink>
    </w:p>
    <w:bookmarkEnd w:id="256"/>
    <w:bookmarkEnd w:id="257"/>
    <w:bookmarkEnd w:id="258"/>
    <w:bookmarkStart w:id="283"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62" w:name="X9625992a90a6042132e1270593c3c56aa030b33"/>
          <w:p>
            <w:pPr>
              <w:pStyle w:val="Compact"/>
              <w:jc w:val="center"/>
            </w:pPr>
            <w:r>
              <w:drawing>
                <wp:inline>
                  <wp:extent cx="5334000" cy="8001000"/>
                  <wp:effectExtent b="0" l="0" r="0" t="0"/>
                  <wp:docPr descr="" title="" id="260" name="Picture"/>
                  <a:graphic>
                    <a:graphicData uri="http://schemas.openxmlformats.org/drawingml/2006/picture">
                      <pic:pic>
                        <pic:nvPicPr>
                          <pic:cNvPr descr="output/publication_figures/field_cage_plant_and_soil_nutrient_correlations.png" id="261" name="Picture"/>
                          <pic:cNvPicPr>
                            <a:picLocks noChangeArrowheads="1" noChangeAspect="1"/>
                          </pic:cNvPicPr>
                        </pic:nvPicPr>
                        <pic:blipFill>
                          <a:blip r:embed="rId259"/>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grid-example"/>
          <w:p>
            <w:pPr>
              <w:pStyle w:val="Compact"/>
              <w:jc w:val="center"/>
            </w:pPr>
            <w:r>
              <w:drawing>
                <wp:inline>
                  <wp:extent cx="5334000" cy="3098760"/>
                  <wp:effectExtent b="0" l="0" r="0" t="0"/>
                  <wp:docPr descr="" title="" id="264" name="Picture"/>
                  <a:graphic>
                    <a:graphicData uri="http://schemas.openxmlformats.org/drawingml/2006/picture">
                      <pic:pic>
                        <pic:nvPicPr>
                          <pic:cNvPr descr="output/publication_figures/spatial_modeling_grid_example_map.png" id="265" name="Picture"/>
                          <pic:cNvPicPr>
                            <a:picLocks noChangeArrowheads="1" noChangeAspect="1"/>
                          </pic:cNvPicPr>
                        </pic:nvPicPr>
                        <pic:blipFill>
                          <a:blip r:embed="rId26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field-pop-nutrients"/>
          <w:p>
            <w:pPr>
              <w:pStyle w:val="Compact"/>
              <w:jc w:val="center"/>
            </w:pPr>
            <w:r>
              <w:drawing>
                <wp:inline>
                  <wp:extent cx="5334000" cy="5334000"/>
                  <wp:effectExtent b="0" l="0" r="0" t="0"/>
                  <wp:docPr descr="" title="" id="268" name="Picture"/>
                  <a:graphic>
                    <a:graphicData uri="http://schemas.openxmlformats.org/drawingml/2006/picture">
                      <pic:pic>
                        <pic:nvPicPr>
                          <pic:cNvPr descr="output/publication_figures/supplement_figure_3.png" id="269" name="Picture"/>
                          <pic:cNvPicPr>
                            <a:picLocks noChangeArrowheads="1" noChangeAspect="1"/>
                          </pic:cNvPicPr>
                        </pic:nvPicPr>
                        <pic:blipFill>
                          <a:blip r:embed="rId26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suppfig-field-cage-rebalancing-facet"/>
          <w:p>
            <w:pPr>
              <w:pStyle w:val="Compact"/>
              <w:jc w:val="center"/>
            </w:pPr>
            <w:r>
              <w:drawing>
                <wp:inline>
                  <wp:extent cx="5334000" cy="3555999"/>
                  <wp:effectExtent b="0" l="0" r="0" t="0"/>
                  <wp:docPr descr="" title="" id="272" name="Picture"/>
                  <a:graphic>
                    <a:graphicData uri="http://schemas.openxmlformats.org/drawingml/2006/picture">
                      <pic:pic>
                        <pic:nvPicPr>
                          <pic:cNvPr descr="output/publication_figures/field_cage_locust_intake_rebalance_day_facet_plot.png" id="273" name="Picture"/>
                          <pic:cNvPicPr>
                            <a:picLocks noChangeArrowheads="1" noChangeAspect="1"/>
                          </pic:cNvPicPr>
                        </pic:nvPicPr>
                        <pic:blipFill>
                          <a:blip r:embed="rId27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env-corr"/>
          <w:p>
            <w:pPr>
              <w:pStyle w:val="Compact"/>
              <w:jc w:val="center"/>
            </w:pPr>
            <w:r>
              <w:drawing>
                <wp:inline>
                  <wp:extent cx="5334000" cy="8001000"/>
                  <wp:effectExtent b="0" l="0" r="0" t="0"/>
                  <wp:docPr descr="" title="" id="276" name="Picture"/>
                  <a:graphic>
                    <a:graphicData uri="http://schemas.openxmlformats.org/drawingml/2006/picture">
                      <pic:pic>
                        <pic:nvPicPr>
                          <pic:cNvPr descr="output/publication_figures/spatial_modeling_environment_correlation_figure.png" id="277" name="Picture"/>
                          <pic:cNvPicPr>
                            <a:picLocks noChangeArrowheads="1" noChangeAspect="1"/>
                          </pic:cNvPicPr>
                        </pic:nvPicPr>
                        <pic:blipFill>
                          <a:blip r:embed="rId275"/>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78"/>
        </w:tc>
      </w:tr>
    </w:tbl>
    <w:bookmarkStart w:id="279"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Digitaria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Ustrostipa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0"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1"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1"/>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2"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82"/>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54" Target="media/rId54.png" /><Relationship Type="http://schemas.openxmlformats.org/officeDocument/2006/relationships/image" Id="rId259" Target="media/rId25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7" Target="media/rId27.png" /><Relationship Type="http://schemas.openxmlformats.org/officeDocument/2006/relationships/image" Id="rId267" Target="media/rId267.png" /><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2024-09-13T22:54:10Z</dcterms:created>
  <dcterms:modified xsi:type="dcterms:W3CDTF">2024-09-13T22:54:10Z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